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6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2"/>
        <w:gridCol w:w="1861"/>
        <w:gridCol w:w="9981"/>
        <w:gridCol w:w="926"/>
        <w:gridCol w:w="868"/>
        <w:gridCol w:w="748"/>
      </w:tblGrid>
      <w:tr w14:paraId="21543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5676" w:type="dxa"/>
            <w:gridSpan w:val="6"/>
            <w:vAlign w:val="top"/>
          </w:tcPr>
          <w:p w14:paraId="7F41A58C">
            <w:pPr>
              <w:spacing w:before="88" w:line="226" w:lineRule="auto"/>
              <w:ind w:left="134"/>
              <w:rPr>
                <w:rFonts w:ascii="方正小标宋简体" w:hAnsi="方正小标宋简体" w:eastAsia="方正小标宋简体" w:cs="方正小标宋简体"/>
                <w:sz w:val="35"/>
                <w:szCs w:val="35"/>
              </w:rPr>
            </w:pPr>
            <w:r>
              <w:rPr>
                <w:rFonts w:ascii="黑体" w:hAnsi="黑体" w:eastAsia="黑体" w:cs="黑体"/>
                <w:spacing w:val="6"/>
                <w:sz w:val="28"/>
                <w:szCs w:val="28"/>
              </w:rPr>
              <w:t>附件</w:t>
            </w:r>
            <w:r>
              <w:rPr>
                <w:rFonts w:ascii="黑体" w:hAnsi="黑体" w:eastAsia="黑体" w:cs="黑体"/>
                <w:spacing w:val="-64"/>
                <w:sz w:val="28"/>
                <w:szCs w:val="28"/>
              </w:rPr>
              <w:t xml:space="preserve"> </w:t>
            </w:r>
            <w:r>
              <w:rPr>
                <w:rFonts w:ascii="黑体" w:hAnsi="黑体" w:eastAsia="黑体" w:cs="黑体"/>
                <w:spacing w:val="6"/>
                <w:sz w:val="28"/>
                <w:szCs w:val="28"/>
              </w:rPr>
              <w:t xml:space="preserve">2：                  </w:t>
            </w:r>
            <w:r>
              <w:rPr>
                <w:rFonts w:ascii="黑体" w:hAnsi="黑体" w:eastAsia="黑体" w:cs="黑体"/>
                <w:spacing w:val="5"/>
                <w:sz w:val="28"/>
                <w:szCs w:val="28"/>
              </w:rPr>
              <w:t xml:space="preserve">       </w:t>
            </w:r>
            <w:r>
              <w:rPr>
                <w:rFonts w:ascii="方正小标宋简体" w:hAnsi="方正小标宋简体" w:eastAsia="方正小标宋简体" w:cs="方正小标宋简体"/>
                <w:spacing w:val="5"/>
                <w:sz w:val="35"/>
                <w:szCs w:val="35"/>
              </w:rPr>
              <w:t>“平安银杏”评优打分表（行政教辅、后勤）</w:t>
            </w:r>
          </w:p>
        </w:tc>
      </w:tr>
      <w:tr w14:paraId="58999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292" w:type="dxa"/>
            <w:vAlign w:val="top"/>
          </w:tcPr>
          <w:p w14:paraId="31808BDE">
            <w:pPr>
              <w:pStyle w:val="7"/>
              <w:spacing w:before="83" w:line="224" w:lineRule="auto"/>
              <w:ind w:left="262"/>
            </w:pPr>
            <w:r>
              <w:rPr>
                <w:b/>
                <w:bCs/>
                <w:color w:val="323232"/>
                <w:spacing w:val="3"/>
              </w:rPr>
              <w:t>一级指标</w:t>
            </w:r>
          </w:p>
        </w:tc>
        <w:tc>
          <w:tcPr>
            <w:tcW w:w="1861" w:type="dxa"/>
            <w:vAlign w:val="top"/>
          </w:tcPr>
          <w:p w14:paraId="590332A7">
            <w:pPr>
              <w:pStyle w:val="7"/>
              <w:spacing w:before="83" w:line="224" w:lineRule="auto"/>
              <w:ind w:left="543"/>
            </w:pPr>
            <w:r>
              <w:rPr>
                <w:b/>
                <w:bCs/>
                <w:color w:val="323232"/>
                <w:spacing w:val="3"/>
              </w:rPr>
              <w:t>二级指标</w:t>
            </w:r>
          </w:p>
        </w:tc>
        <w:tc>
          <w:tcPr>
            <w:tcW w:w="9981" w:type="dxa"/>
            <w:vAlign w:val="top"/>
          </w:tcPr>
          <w:p w14:paraId="68D3F2AF">
            <w:pPr>
              <w:pStyle w:val="7"/>
              <w:spacing w:before="82" w:line="224" w:lineRule="auto"/>
              <w:ind w:left="4594"/>
            </w:pPr>
            <w:r>
              <w:rPr>
                <w:b/>
                <w:bCs/>
                <w:color w:val="323232"/>
                <w:spacing w:val="6"/>
              </w:rPr>
              <w:t>评分标准</w:t>
            </w:r>
          </w:p>
        </w:tc>
        <w:tc>
          <w:tcPr>
            <w:tcW w:w="926" w:type="dxa"/>
            <w:vAlign w:val="top"/>
          </w:tcPr>
          <w:p w14:paraId="1A32655C">
            <w:pPr>
              <w:pStyle w:val="7"/>
              <w:spacing w:before="82" w:line="224" w:lineRule="auto"/>
              <w:ind w:left="168"/>
            </w:pPr>
            <w:r>
              <w:rPr>
                <w:b/>
                <w:bCs/>
                <w:color w:val="323232"/>
                <w:spacing w:val="5"/>
              </w:rPr>
              <w:t>标准分</w:t>
            </w:r>
          </w:p>
        </w:tc>
        <w:tc>
          <w:tcPr>
            <w:tcW w:w="868" w:type="dxa"/>
            <w:vAlign w:val="top"/>
          </w:tcPr>
          <w:p w14:paraId="5AE6AA99">
            <w:pPr>
              <w:pStyle w:val="7"/>
              <w:spacing w:before="82" w:line="226" w:lineRule="auto"/>
              <w:ind w:left="242"/>
            </w:pPr>
            <w:r>
              <w:rPr>
                <w:b/>
                <w:bCs/>
                <w:color w:val="323232"/>
                <w:spacing w:val="2"/>
              </w:rPr>
              <w:t>得分</w:t>
            </w:r>
          </w:p>
        </w:tc>
        <w:tc>
          <w:tcPr>
            <w:tcW w:w="748" w:type="dxa"/>
            <w:vAlign w:val="top"/>
          </w:tcPr>
          <w:p w14:paraId="29683F4E">
            <w:pPr>
              <w:pStyle w:val="7"/>
              <w:spacing w:before="83" w:line="224" w:lineRule="auto"/>
              <w:ind w:left="180"/>
            </w:pPr>
            <w:r>
              <w:rPr>
                <w:b/>
                <w:bCs/>
                <w:spacing w:val="3"/>
              </w:rPr>
              <w:t>备注</w:t>
            </w:r>
          </w:p>
        </w:tc>
      </w:tr>
      <w:tr w14:paraId="3927E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92" w:type="dxa"/>
            <w:vMerge w:val="restart"/>
            <w:tcBorders>
              <w:bottom w:val="nil"/>
            </w:tcBorders>
            <w:vAlign w:val="top"/>
          </w:tcPr>
          <w:p w14:paraId="0F391075">
            <w:pPr>
              <w:spacing w:line="256" w:lineRule="auto"/>
              <w:rPr>
                <w:rFonts w:ascii="Arial"/>
                <w:sz w:val="21"/>
              </w:rPr>
            </w:pPr>
          </w:p>
          <w:p w14:paraId="4ECC1BDC">
            <w:pPr>
              <w:spacing w:line="256" w:lineRule="auto"/>
              <w:rPr>
                <w:rFonts w:ascii="Arial"/>
                <w:sz w:val="21"/>
              </w:rPr>
            </w:pPr>
          </w:p>
          <w:p w14:paraId="139EB71D">
            <w:pPr>
              <w:spacing w:line="256" w:lineRule="auto"/>
              <w:rPr>
                <w:rFonts w:ascii="Arial"/>
                <w:sz w:val="21"/>
              </w:rPr>
            </w:pPr>
          </w:p>
          <w:p w14:paraId="48BD3E5F">
            <w:pPr>
              <w:spacing w:line="256" w:lineRule="auto"/>
              <w:rPr>
                <w:rFonts w:ascii="Arial"/>
                <w:sz w:val="21"/>
              </w:rPr>
            </w:pPr>
          </w:p>
          <w:p w14:paraId="3D2D301D">
            <w:pPr>
              <w:spacing w:line="257" w:lineRule="auto"/>
              <w:rPr>
                <w:rFonts w:ascii="Arial"/>
                <w:sz w:val="21"/>
              </w:rPr>
            </w:pPr>
          </w:p>
          <w:p w14:paraId="761AB13A">
            <w:pPr>
              <w:spacing w:line="257" w:lineRule="auto"/>
              <w:rPr>
                <w:rFonts w:ascii="Arial"/>
                <w:sz w:val="21"/>
              </w:rPr>
            </w:pPr>
          </w:p>
          <w:p w14:paraId="5690AE3E">
            <w:pPr>
              <w:spacing w:line="257" w:lineRule="auto"/>
              <w:rPr>
                <w:rFonts w:ascii="Arial"/>
                <w:sz w:val="21"/>
              </w:rPr>
            </w:pPr>
          </w:p>
          <w:p w14:paraId="16C9C26D">
            <w:pPr>
              <w:pStyle w:val="7"/>
              <w:spacing w:before="62" w:line="222" w:lineRule="auto"/>
              <w:ind w:left="156"/>
            </w:pPr>
            <w:r>
              <w:rPr>
                <w:color w:val="323232"/>
                <w:spacing w:val="7"/>
              </w:rPr>
              <w:t>安全管理及</w:t>
            </w:r>
          </w:p>
          <w:p w14:paraId="04D90F1E">
            <w:pPr>
              <w:pStyle w:val="7"/>
              <w:spacing w:before="83" w:line="223" w:lineRule="auto"/>
              <w:ind w:left="257"/>
            </w:pPr>
            <w:r>
              <w:rPr>
                <w:color w:val="323232"/>
                <w:spacing w:val="6"/>
              </w:rPr>
              <w:t>应急处置</w:t>
            </w:r>
          </w:p>
          <w:p w14:paraId="13DC64C6">
            <w:pPr>
              <w:pStyle w:val="7"/>
              <w:spacing w:before="82" w:line="226" w:lineRule="auto"/>
              <w:ind w:left="222"/>
            </w:pPr>
            <w:r>
              <w:rPr>
                <w:color w:val="323232"/>
                <w:spacing w:val="3"/>
              </w:rPr>
              <w:t>（40</w:t>
            </w:r>
            <w:r>
              <w:rPr>
                <w:color w:val="323232"/>
                <w:spacing w:val="-31"/>
              </w:rPr>
              <w:t xml:space="preserve"> </w:t>
            </w:r>
            <w:r>
              <w:rPr>
                <w:color w:val="323232"/>
                <w:spacing w:val="3"/>
              </w:rPr>
              <w:t>分）</w:t>
            </w:r>
          </w:p>
        </w:tc>
        <w:tc>
          <w:tcPr>
            <w:tcW w:w="1861" w:type="dxa"/>
            <w:vAlign w:val="top"/>
          </w:tcPr>
          <w:p w14:paraId="153F5B53">
            <w:pPr>
              <w:spacing w:line="308" w:lineRule="auto"/>
              <w:rPr>
                <w:rFonts w:ascii="Arial"/>
                <w:sz w:val="21"/>
              </w:rPr>
            </w:pPr>
          </w:p>
          <w:p w14:paraId="3348188A">
            <w:pPr>
              <w:pStyle w:val="7"/>
              <w:spacing w:before="62" w:line="223" w:lineRule="auto"/>
              <w:ind w:left="245"/>
            </w:pPr>
            <w:r>
              <w:rPr>
                <w:color w:val="323232"/>
                <w:spacing w:val="7"/>
              </w:rPr>
              <w:t>落实全员责任制</w:t>
            </w:r>
          </w:p>
        </w:tc>
        <w:tc>
          <w:tcPr>
            <w:tcW w:w="9981" w:type="dxa"/>
            <w:vAlign w:val="top"/>
          </w:tcPr>
          <w:p w14:paraId="0D13E7B3">
            <w:pPr>
              <w:pStyle w:val="7"/>
              <w:spacing w:before="59" w:line="282" w:lineRule="auto"/>
              <w:ind w:left="111" w:right="104"/>
              <w:jc w:val="both"/>
            </w:pPr>
            <w:r>
              <w:rPr>
                <w:color w:val="323232"/>
                <w:spacing w:val="9"/>
              </w:rPr>
              <w:t>按照“管业务必须管安全”要求，围绕分管领域安全工作，健全安全组织，完善管理制度，构建责任体系。按照</w:t>
            </w:r>
            <w:r>
              <w:rPr>
                <w:color w:val="323232"/>
                <w:spacing w:val="7"/>
              </w:rPr>
              <w:t xml:space="preserve"> </w:t>
            </w:r>
            <w:r>
              <w:rPr>
                <w:color w:val="323232"/>
                <w:spacing w:val="9"/>
              </w:rPr>
              <w:t>学校《安全管理责任清单》《安全稳定工作岗位责任清单》《各级各单位消防安全管理责任清单》等制度要求将</w:t>
            </w:r>
            <w:r>
              <w:rPr>
                <w:color w:val="323232"/>
                <w:spacing w:val="7"/>
              </w:rPr>
              <w:t xml:space="preserve"> </w:t>
            </w:r>
            <w:r>
              <w:rPr>
                <w:color w:val="323232"/>
                <w:spacing w:val="8"/>
              </w:rPr>
              <w:t>本单位安全管理责任细化并落实到人。工作台账不全或弄虚作假的，视情扣</w:t>
            </w:r>
            <w:r>
              <w:rPr>
                <w:color w:val="323232"/>
                <w:spacing w:val="-12"/>
              </w:rPr>
              <w:t xml:space="preserve"> </w:t>
            </w:r>
            <w:r>
              <w:rPr>
                <w:color w:val="323232"/>
                <w:spacing w:val="8"/>
              </w:rPr>
              <w:t>1-4</w:t>
            </w:r>
            <w:r>
              <w:rPr>
                <w:color w:val="323232"/>
                <w:spacing w:val="-36"/>
              </w:rPr>
              <w:t xml:space="preserve"> </w:t>
            </w:r>
            <w:r>
              <w:rPr>
                <w:color w:val="323232"/>
                <w:spacing w:val="8"/>
              </w:rPr>
              <w:t>分。</w:t>
            </w:r>
          </w:p>
        </w:tc>
        <w:tc>
          <w:tcPr>
            <w:tcW w:w="926" w:type="dxa"/>
            <w:vAlign w:val="top"/>
          </w:tcPr>
          <w:p w14:paraId="7D748480">
            <w:pPr>
              <w:spacing w:line="334" w:lineRule="auto"/>
              <w:rPr>
                <w:rFonts w:ascii="Arial"/>
                <w:sz w:val="21"/>
              </w:rPr>
            </w:pPr>
          </w:p>
          <w:p w14:paraId="0B496D56">
            <w:pPr>
              <w:pStyle w:val="7"/>
              <w:spacing w:before="61" w:line="194" w:lineRule="auto"/>
              <w:ind w:left="426"/>
            </w:pPr>
            <w:r>
              <w:rPr>
                <w:color w:val="323232"/>
              </w:rPr>
              <w:t>4</w:t>
            </w:r>
          </w:p>
        </w:tc>
        <w:tc>
          <w:tcPr>
            <w:tcW w:w="868" w:type="dxa"/>
            <w:vAlign w:val="top"/>
          </w:tcPr>
          <w:p w14:paraId="017BA70D">
            <w:pPr>
              <w:rPr>
                <w:rFonts w:ascii="Arial"/>
                <w:sz w:val="21"/>
              </w:rPr>
            </w:pPr>
          </w:p>
        </w:tc>
        <w:tc>
          <w:tcPr>
            <w:tcW w:w="748" w:type="dxa"/>
            <w:vAlign w:val="top"/>
          </w:tcPr>
          <w:p w14:paraId="7E6D5E60">
            <w:pPr>
              <w:rPr>
                <w:rFonts w:ascii="Arial"/>
                <w:sz w:val="21"/>
              </w:rPr>
            </w:pPr>
          </w:p>
        </w:tc>
      </w:tr>
      <w:tr w14:paraId="08C7F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92" w:type="dxa"/>
            <w:vMerge w:val="continue"/>
            <w:tcBorders>
              <w:top w:val="nil"/>
              <w:bottom w:val="nil"/>
            </w:tcBorders>
            <w:vAlign w:val="top"/>
          </w:tcPr>
          <w:p w14:paraId="48B7928B">
            <w:pPr>
              <w:rPr>
                <w:rFonts w:ascii="Arial"/>
                <w:sz w:val="21"/>
              </w:rPr>
            </w:pPr>
          </w:p>
        </w:tc>
        <w:tc>
          <w:tcPr>
            <w:tcW w:w="1861" w:type="dxa"/>
            <w:vMerge w:val="restart"/>
            <w:tcBorders>
              <w:bottom w:val="nil"/>
            </w:tcBorders>
            <w:vAlign w:val="top"/>
          </w:tcPr>
          <w:p w14:paraId="0E9374A4">
            <w:pPr>
              <w:spacing w:line="316" w:lineRule="auto"/>
              <w:rPr>
                <w:rFonts w:ascii="Arial"/>
                <w:sz w:val="21"/>
              </w:rPr>
            </w:pPr>
          </w:p>
          <w:p w14:paraId="46337EBC">
            <w:pPr>
              <w:spacing w:line="317" w:lineRule="auto"/>
              <w:rPr>
                <w:rFonts w:ascii="Arial"/>
                <w:sz w:val="21"/>
              </w:rPr>
            </w:pPr>
          </w:p>
          <w:p w14:paraId="6DF65D2D">
            <w:pPr>
              <w:pStyle w:val="7"/>
              <w:spacing w:before="62" w:line="223" w:lineRule="auto"/>
              <w:ind w:left="152"/>
            </w:pPr>
            <w:r>
              <w:rPr>
                <w:color w:val="323232"/>
                <w:spacing w:val="6"/>
              </w:rPr>
              <w:t>防范遏制师生伤亡</w:t>
            </w:r>
          </w:p>
        </w:tc>
        <w:tc>
          <w:tcPr>
            <w:tcW w:w="9981" w:type="dxa"/>
            <w:vAlign w:val="top"/>
          </w:tcPr>
          <w:p w14:paraId="04D8DE7F">
            <w:pPr>
              <w:pStyle w:val="7"/>
              <w:spacing w:before="61" w:line="271" w:lineRule="auto"/>
              <w:ind w:left="115" w:right="118" w:hanging="4"/>
            </w:pPr>
            <w:r>
              <w:rPr>
                <w:color w:val="323232"/>
                <w:spacing w:val="9"/>
              </w:rPr>
              <w:t>加强本单位（部门）心理异常、“</w:t>
            </w:r>
            <w:r>
              <w:rPr>
                <w:color w:val="323232"/>
                <w:spacing w:val="-72"/>
              </w:rPr>
              <w:t xml:space="preserve"> </w:t>
            </w:r>
            <w:r>
              <w:rPr>
                <w:color w:val="323232"/>
                <w:spacing w:val="9"/>
              </w:rPr>
              <w:t>三失一偏”</w:t>
            </w:r>
            <w:r>
              <w:rPr>
                <w:color w:val="323232"/>
                <w:spacing w:val="8"/>
              </w:rPr>
              <w:t>等重点人员的排查管理，积极做好心理疏导或矛盾纠纷化解工作。</w:t>
            </w:r>
            <w:r>
              <w:rPr>
                <w:color w:val="323232"/>
              </w:rPr>
              <w:t xml:space="preserve"> </w:t>
            </w:r>
            <w:r>
              <w:rPr>
                <w:color w:val="323232"/>
                <w:spacing w:val="6"/>
              </w:rPr>
              <w:t>工作台账不全或弄虚作假的，视情扣</w:t>
            </w:r>
            <w:r>
              <w:rPr>
                <w:color w:val="323232"/>
                <w:spacing w:val="-10"/>
              </w:rPr>
              <w:t xml:space="preserve"> </w:t>
            </w:r>
            <w:r>
              <w:rPr>
                <w:color w:val="323232"/>
                <w:spacing w:val="6"/>
              </w:rPr>
              <w:t>1-4</w:t>
            </w:r>
            <w:r>
              <w:rPr>
                <w:color w:val="323232"/>
                <w:spacing w:val="-36"/>
              </w:rPr>
              <w:t xml:space="preserve"> </w:t>
            </w:r>
            <w:r>
              <w:rPr>
                <w:color w:val="323232"/>
                <w:spacing w:val="6"/>
              </w:rPr>
              <w:t>分。</w:t>
            </w:r>
          </w:p>
        </w:tc>
        <w:tc>
          <w:tcPr>
            <w:tcW w:w="926" w:type="dxa"/>
            <w:vAlign w:val="top"/>
          </w:tcPr>
          <w:p w14:paraId="7FCDE568">
            <w:pPr>
              <w:pStyle w:val="7"/>
              <w:spacing w:before="242" w:line="194" w:lineRule="auto"/>
              <w:ind w:left="426"/>
            </w:pPr>
            <w:r>
              <w:rPr>
                <w:color w:val="323232"/>
              </w:rPr>
              <w:t>4</w:t>
            </w:r>
          </w:p>
        </w:tc>
        <w:tc>
          <w:tcPr>
            <w:tcW w:w="868" w:type="dxa"/>
            <w:vAlign w:val="top"/>
          </w:tcPr>
          <w:p w14:paraId="104BD01D">
            <w:pPr>
              <w:rPr>
                <w:rFonts w:ascii="Arial"/>
                <w:sz w:val="21"/>
              </w:rPr>
            </w:pPr>
          </w:p>
        </w:tc>
        <w:tc>
          <w:tcPr>
            <w:tcW w:w="748" w:type="dxa"/>
            <w:vAlign w:val="top"/>
          </w:tcPr>
          <w:p w14:paraId="70C9B0EF">
            <w:pPr>
              <w:rPr>
                <w:rFonts w:ascii="Arial"/>
                <w:sz w:val="21"/>
              </w:rPr>
            </w:pPr>
          </w:p>
        </w:tc>
      </w:tr>
      <w:tr w14:paraId="433A1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92" w:type="dxa"/>
            <w:vMerge w:val="continue"/>
            <w:tcBorders>
              <w:top w:val="nil"/>
              <w:bottom w:val="nil"/>
            </w:tcBorders>
            <w:vAlign w:val="top"/>
          </w:tcPr>
          <w:p w14:paraId="261C83AE">
            <w:pPr>
              <w:rPr>
                <w:rFonts w:ascii="Arial"/>
                <w:sz w:val="21"/>
              </w:rPr>
            </w:pPr>
          </w:p>
        </w:tc>
        <w:tc>
          <w:tcPr>
            <w:tcW w:w="1861" w:type="dxa"/>
            <w:vMerge w:val="continue"/>
            <w:tcBorders>
              <w:top w:val="nil"/>
              <w:bottom w:val="nil"/>
            </w:tcBorders>
            <w:vAlign w:val="top"/>
          </w:tcPr>
          <w:p w14:paraId="18402102">
            <w:pPr>
              <w:rPr>
                <w:rFonts w:ascii="Arial"/>
                <w:sz w:val="21"/>
              </w:rPr>
            </w:pPr>
          </w:p>
        </w:tc>
        <w:tc>
          <w:tcPr>
            <w:tcW w:w="9981" w:type="dxa"/>
            <w:vAlign w:val="top"/>
          </w:tcPr>
          <w:p w14:paraId="489C3480">
            <w:pPr>
              <w:pStyle w:val="7"/>
              <w:spacing w:before="61" w:line="271" w:lineRule="auto"/>
              <w:ind w:left="116" w:right="118" w:firstLine="5"/>
            </w:pPr>
            <w:r>
              <w:rPr>
                <w:color w:val="323232"/>
                <w:spacing w:val="9"/>
              </w:rPr>
              <w:t>多措并举，确保学校校舍、设施设备、疏散通道等本质安全，确保施工作业</w:t>
            </w:r>
            <w:r>
              <w:rPr>
                <w:color w:val="323232"/>
                <w:spacing w:val="8"/>
              </w:rPr>
              <w:t>、集体活动、后勤服务等过程安全。</w:t>
            </w:r>
            <w:r>
              <w:rPr>
                <w:color w:val="323232"/>
              </w:rPr>
              <w:t xml:space="preserve"> </w:t>
            </w:r>
            <w:r>
              <w:rPr>
                <w:color w:val="323232"/>
                <w:spacing w:val="6"/>
              </w:rPr>
              <w:t>工作台账不全或弄虚作假的，视情扣</w:t>
            </w:r>
            <w:r>
              <w:rPr>
                <w:color w:val="323232"/>
                <w:spacing w:val="-10"/>
              </w:rPr>
              <w:t xml:space="preserve"> </w:t>
            </w:r>
            <w:r>
              <w:rPr>
                <w:color w:val="323232"/>
                <w:spacing w:val="6"/>
              </w:rPr>
              <w:t>1-4</w:t>
            </w:r>
            <w:r>
              <w:rPr>
                <w:color w:val="323232"/>
                <w:spacing w:val="-36"/>
              </w:rPr>
              <w:t xml:space="preserve"> </w:t>
            </w:r>
            <w:r>
              <w:rPr>
                <w:color w:val="323232"/>
                <w:spacing w:val="6"/>
              </w:rPr>
              <w:t>分。</w:t>
            </w:r>
          </w:p>
        </w:tc>
        <w:tc>
          <w:tcPr>
            <w:tcW w:w="926" w:type="dxa"/>
            <w:vAlign w:val="top"/>
          </w:tcPr>
          <w:p w14:paraId="4A2C9482">
            <w:pPr>
              <w:pStyle w:val="7"/>
              <w:spacing w:before="242" w:line="194" w:lineRule="auto"/>
              <w:ind w:left="426"/>
            </w:pPr>
            <w:r>
              <w:rPr>
                <w:color w:val="323232"/>
              </w:rPr>
              <w:t>4</w:t>
            </w:r>
          </w:p>
        </w:tc>
        <w:tc>
          <w:tcPr>
            <w:tcW w:w="868" w:type="dxa"/>
            <w:vAlign w:val="top"/>
          </w:tcPr>
          <w:p w14:paraId="4B28263F">
            <w:pPr>
              <w:rPr>
                <w:rFonts w:ascii="Arial"/>
                <w:sz w:val="21"/>
              </w:rPr>
            </w:pPr>
          </w:p>
        </w:tc>
        <w:tc>
          <w:tcPr>
            <w:tcW w:w="748" w:type="dxa"/>
            <w:vAlign w:val="top"/>
          </w:tcPr>
          <w:p w14:paraId="2DD2B8FF">
            <w:pPr>
              <w:rPr>
                <w:rFonts w:ascii="Arial"/>
                <w:sz w:val="21"/>
              </w:rPr>
            </w:pPr>
          </w:p>
        </w:tc>
      </w:tr>
      <w:tr w14:paraId="34A50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292" w:type="dxa"/>
            <w:vMerge w:val="continue"/>
            <w:tcBorders>
              <w:top w:val="nil"/>
              <w:bottom w:val="nil"/>
            </w:tcBorders>
            <w:vAlign w:val="top"/>
          </w:tcPr>
          <w:p w14:paraId="617125C3">
            <w:pPr>
              <w:rPr>
                <w:rFonts w:ascii="Arial"/>
                <w:sz w:val="21"/>
              </w:rPr>
            </w:pPr>
          </w:p>
        </w:tc>
        <w:tc>
          <w:tcPr>
            <w:tcW w:w="1861" w:type="dxa"/>
            <w:vMerge w:val="continue"/>
            <w:tcBorders>
              <w:top w:val="nil"/>
            </w:tcBorders>
            <w:vAlign w:val="top"/>
          </w:tcPr>
          <w:p w14:paraId="6BA542D2">
            <w:pPr>
              <w:rPr>
                <w:rFonts w:ascii="Arial"/>
                <w:sz w:val="21"/>
              </w:rPr>
            </w:pPr>
          </w:p>
        </w:tc>
        <w:tc>
          <w:tcPr>
            <w:tcW w:w="9981" w:type="dxa"/>
            <w:vAlign w:val="top"/>
          </w:tcPr>
          <w:p w14:paraId="582A2839">
            <w:pPr>
              <w:pStyle w:val="7"/>
              <w:spacing w:before="65" w:line="222" w:lineRule="auto"/>
              <w:ind w:left="113"/>
            </w:pPr>
            <w:r>
              <w:rPr>
                <w:spacing w:val="8"/>
              </w:rPr>
              <w:t>积极参加学校组织的应急救护培训。工作台账不全或弄虚作假的，视情扣</w:t>
            </w:r>
            <w:r>
              <w:rPr>
                <w:spacing w:val="-15"/>
              </w:rPr>
              <w:t xml:space="preserve"> </w:t>
            </w:r>
            <w:r>
              <w:rPr>
                <w:spacing w:val="8"/>
              </w:rPr>
              <w:t>1-4</w:t>
            </w:r>
            <w:r>
              <w:rPr>
                <w:spacing w:val="-36"/>
              </w:rPr>
              <w:t xml:space="preserve"> </w:t>
            </w:r>
            <w:r>
              <w:rPr>
                <w:spacing w:val="8"/>
              </w:rPr>
              <w:t>分。</w:t>
            </w:r>
          </w:p>
        </w:tc>
        <w:tc>
          <w:tcPr>
            <w:tcW w:w="926" w:type="dxa"/>
            <w:vAlign w:val="top"/>
          </w:tcPr>
          <w:p w14:paraId="02332B0B">
            <w:pPr>
              <w:pStyle w:val="7"/>
              <w:spacing w:before="90" w:line="194" w:lineRule="auto"/>
              <w:ind w:left="426"/>
            </w:pPr>
            <w:r>
              <w:rPr>
                <w:color w:val="323232"/>
              </w:rPr>
              <w:t>4</w:t>
            </w:r>
          </w:p>
        </w:tc>
        <w:tc>
          <w:tcPr>
            <w:tcW w:w="868" w:type="dxa"/>
            <w:vAlign w:val="top"/>
          </w:tcPr>
          <w:p w14:paraId="41359FB4">
            <w:pPr>
              <w:rPr>
                <w:rFonts w:ascii="Arial"/>
                <w:sz w:val="21"/>
              </w:rPr>
            </w:pPr>
          </w:p>
        </w:tc>
        <w:tc>
          <w:tcPr>
            <w:tcW w:w="748" w:type="dxa"/>
            <w:vAlign w:val="top"/>
          </w:tcPr>
          <w:p w14:paraId="65F64444">
            <w:pPr>
              <w:rPr>
                <w:rFonts w:ascii="Arial"/>
                <w:sz w:val="21"/>
              </w:rPr>
            </w:pPr>
          </w:p>
        </w:tc>
      </w:tr>
      <w:tr w14:paraId="1545D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92" w:type="dxa"/>
            <w:vMerge w:val="continue"/>
            <w:tcBorders>
              <w:top w:val="nil"/>
              <w:bottom w:val="nil"/>
            </w:tcBorders>
            <w:vAlign w:val="top"/>
          </w:tcPr>
          <w:p w14:paraId="1E7BBBEF">
            <w:pPr>
              <w:rPr>
                <w:rFonts w:ascii="Arial"/>
                <w:sz w:val="21"/>
              </w:rPr>
            </w:pPr>
          </w:p>
        </w:tc>
        <w:tc>
          <w:tcPr>
            <w:tcW w:w="1861" w:type="dxa"/>
            <w:vMerge w:val="restart"/>
            <w:tcBorders>
              <w:bottom w:val="nil"/>
            </w:tcBorders>
            <w:vAlign w:val="top"/>
          </w:tcPr>
          <w:p w14:paraId="4C63695D">
            <w:pPr>
              <w:spacing w:line="469" w:lineRule="auto"/>
              <w:rPr>
                <w:rFonts w:ascii="Arial"/>
                <w:sz w:val="21"/>
              </w:rPr>
            </w:pPr>
          </w:p>
          <w:p w14:paraId="381E69B2">
            <w:pPr>
              <w:pStyle w:val="7"/>
              <w:spacing w:before="62" w:line="223" w:lineRule="auto"/>
              <w:ind w:left="132"/>
            </w:pPr>
            <w:r>
              <w:rPr>
                <w:color w:val="323232"/>
                <w:spacing w:val="8"/>
              </w:rPr>
              <w:t>提升师生安全理念</w:t>
            </w:r>
          </w:p>
        </w:tc>
        <w:tc>
          <w:tcPr>
            <w:tcW w:w="9981" w:type="dxa"/>
            <w:vAlign w:val="top"/>
          </w:tcPr>
          <w:p w14:paraId="17AC04C0">
            <w:pPr>
              <w:pStyle w:val="7"/>
              <w:spacing w:before="61" w:line="271" w:lineRule="auto"/>
              <w:ind w:left="113" w:right="104" w:firstLine="3"/>
            </w:pPr>
            <w:r>
              <w:rPr>
                <w:color w:val="323232"/>
                <w:spacing w:val="9"/>
              </w:rPr>
              <w:t>扎实开展分管领域安全教育及本单位（部门）各类安全教育，并积极参加学校组织的各类安全宣传教育活动。工</w:t>
            </w:r>
            <w:r>
              <w:rPr>
                <w:color w:val="323232"/>
                <w:spacing w:val="1"/>
              </w:rPr>
              <w:t xml:space="preserve"> </w:t>
            </w:r>
            <w:r>
              <w:rPr>
                <w:color w:val="323232"/>
                <w:spacing w:val="6"/>
              </w:rPr>
              <w:t>作台账不全或弄虚作假的，视情扣</w:t>
            </w:r>
            <w:r>
              <w:rPr>
                <w:color w:val="323232"/>
                <w:spacing w:val="-11"/>
              </w:rPr>
              <w:t xml:space="preserve"> </w:t>
            </w:r>
            <w:r>
              <w:rPr>
                <w:color w:val="323232"/>
                <w:spacing w:val="6"/>
              </w:rPr>
              <w:t>1-8</w:t>
            </w:r>
            <w:r>
              <w:rPr>
                <w:color w:val="323232"/>
                <w:spacing w:val="-36"/>
              </w:rPr>
              <w:t xml:space="preserve"> </w:t>
            </w:r>
            <w:r>
              <w:rPr>
                <w:color w:val="323232"/>
                <w:spacing w:val="6"/>
              </w:rPr>
              <w:t>分。</w:t>
            </w:r>
          </w:p>
        </w:tc>
        <w:tc>
          <w:tcPr>
            <w:tcW w:w="926" w:type="dxa"/>
            <w:vAlign w:val="top"/>
          </w:tcPr>
          <w:p w14:paraId="3779EE90">
            <w:pPr>
              <w:pStyle w:val="7"/>
              <w:spacing w:before="243" w:line="194" w:lineRule="auto"/>
              <w:ind w:left="428"/>
            </w:pPr>
            <w:r>
              <w:rPr>
                <w:color w:val="323232"/>
              </w:rPr>
              <w:t>8</w:t>
            </w:r>
          </w:p>
        </w:tc>
        <w:tc>
          <w:tcPr>
            <w:tcW w:w="868" w:type="dxa"/>
            <w:vAlign w:val="top"/>
          </w:tcPr>
          <w:p w14:paraId="76FC23C3">
            <w:pPr>
              <w:rPr>
                <w:rFonts w:ascii="Arial"/>
                <w:sz w:val="21"/>
              </w:rPr>
            </w:pPr>
          </w:p>
        </w:tc>
        <w:tc>
          <w:tcPr>
            <w:tcW w:w="748" w:type="dxa"/>
            <w:vAlign w:val="top"/>
          </w:tcPr>
          <w:p w14:paraId="22B2BA64">
            <w:pPr>
              <w:rPr>
                <w:rFonts w:ascii="Arial"/>
                <w:sz w:val="21"/>
              </w:rPr>
            </w:pPr>
          </w:p>
        </w:tc>
      </w:tr>
      <w:tr w14:paraId="65896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92" w:type="dxa"/>
            <w:vMerge w:val="continue"/>
            <w:tcBorders>
              <w:top w:val="nil"/>
              <w:bottom w:val="nil"/>
            </w:tcBorders>
            <w:vAlign w:val="top"/>
          </w:tcPr>
          <w:p w14:paraId="7C704ADC">
            <w:pPr>
              <w:rPr>
                <w:rFonts w:ascii="Arial"/>
                <w:sz w:val="21"/>
              </w:rPr>
            </w:pPr>
          </w:p>
        </w:tc>
        <w:tc>
          <w:tcPr>
            <w:tcW w:w="1861" w:type="dxa"/>
            <w:vMerge w:val="continue"/>
            <w:tcBorders>
              <w:top w:val="nil"/>
            </w:tcBorders>
            <w:vAlign w:val="top"/>
          </w:tcPr>
          <w:p w14:paraId="61C71D27">
            <w:pPr>
              <w:rPr>
                <w:rFonts w:ascii="Arial"/>
                <w:sz w:val="21"/>
              </w:rPr>
            </w:pPr>
          </w:p>
        </w:tc>
        <w:tc>
          <w:tcPr>
            <w:tcW w:w="9981" w:type="dxa"/>
            <w:vAlign w:val="top"/>
          </w:tcPr>
          <w:p w14:paraId="46B65244">
            <w:pPr>
              <w:pStyle w:val="7"/>
              <w:spacing w:before="62" w:line="270" w:lineRule="auto"/>
              <w:ind w:left="115" w:right="104"/>
            </w:pPr>
            <w:r>
              <w:rPr>
                <w:color w:val="323232"/>
                <w:spacing w:val="9"/>
              </w:rPr>
              <w:t>不断更新完善分管领域突发事件应急处置细则并定期开展演练。每学年至少组织开展一次分管领域各类突发事件</w:t>
            </w:r>
            <w:r>
              <w:rPr>
                <w:color w:val="323232"/>
                <w:spacing w:val="3"/>
              </w:rPr>
              <w:t xml:space="preserve"> </w:t>
            </w:r>
            <w:r>
              <w:rPr>
                <w:color w:val="323232"/>
                <w:spacing w:val="7"/>
              </w:rPr>
              <w:t>应急演练。工作台账不全或弄虚作假的，视情扣</w:t>
            </w:r>
            <w:r>
              <w:rPr>
                <w:color w:val="323232"/>
                <w:spacing w:val="-15"/>
              </w:rPr>
              <w:t xml:space="preserve"> </w:t>
            </w:r>
            <w:r>
              <w:rPr>
                <w:color w:val="323232"/>
                <w:spacing w:val="7"/>
              </w:rPr>
              <w:t>1-8</w:t>
            </w:r>
            <w:r>
              <w:rPr>
                <w:color w:val="323232"/>
                <w:spacing w:val="-36"/>
              </w:rPr>
              <w:t xml:space="preserve"> </w:t>
            </w:r>
            <w:r>
              <w:rPr>
                <w:color w:val="323232"/>
                <w:spacing w:val="7"/>
              </w:rPr>
              <w:t>分。</w:t>
            </w:r>
          </w:p>
        </w:tc>
        <w:tc>
          <w:tcPr>
            <w:tcW w:w="926" w:type="dxa"/>
            <w:vAlign w:val="top"/>
          </w:tcPr>
          <w:p w14:paraId="4D89C254">
            <w:pPr>
              <w:pStyle w:val="7"/>
              <w:spacing w:before="242" w:line="194" w:lineRule="auto"/>
              <w:ind w:left="428"/>
            </w:pPr>
            <w:r>
              <w:rPr>
                <w:color w:val="323232"/>
              </w:rPr>
              <w:t>8</w:t>
            </w:r>
          </w:p>
        </w:tc>
        <w:tc>
          <w:tcPr>
            <w:tcW w:w="868" w:type="dxa"/>
            <w:vAlign w:val="top"/>
          </w:tcPr>
          <w:p w14:paraId="599D927D">
            <w:pPr>
              <w:rPr>
                <w:rFonts w:ascii="Arial"/>
                <w:sz w:val="21"/>
              </w:rPr>
            </w:pPr>
          </w:p>
        </w:tc>
        <w:tc>
          <w:tcPr>
            <w:tcW w:w="748" w:type="dxa"/>
            <w:vAlign w:val="top"/>
          </w:tcPr>
          <w:p w14:paraId="44DE10FC">
            <w:pPr>
              <w:rPr>
                <w:rFonts w:ascii="Arial"/>
                <w:sz w:val="21"/>
              </w:rPr>
            </w:pPr>
          </w:p>
        </w:tc>
      </w:tr>
      <w:tr w14:paraId="2D1D8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292" w:type="dxa"/>
            <w:vMerge w:val="continue"/>
            <w:tcBorders>
              <w:top w:val="nil"/>
            </w:tcBorders>
            <w:vAlign w:val="top"/>
          </w:tcPr>
          <w:p w14:paraId="708D7C94">
            <w:pPr>
              <w:rPr>
                <w:rFonts w:ascii="Arial"/>
                <w:sz w:val="21"/>
              </w:rPr>
            </w:pPr>
          </w:p>
        </w:tc>
        <w:tc>
          <w:tcPr>
            <w:tcW w:w="1861" w:type="dxa"/>
            <w:vAlign w:val="top"/>
          </w:tcPr>
          <w:p w14:paraId="455EDFA7">
            <w:pPr>
              <w:pStyle w:val="7"/>
              <w:spacing w:before="275" w:line="222" w:lineRule="auto"/>
              <w:ind w:left="341"/>
            </w:pPr>
            <w:r>
              <w:rPr>
                <w:color w:val="323232"/>
                <w:spacing w:val="7"/>
              </w:rPr>
              <w:t>处置突发事件</w:t>
            </w:r>
          </w:p>
        </w:tc>
        <w:tc>
          <w:tcPr>
            <w:tcW w:w="9981" w:type="dxa"/>
            <w:vAlign w:val="top"/>
          </w:tcPr>
          <w:p w14:paraId="40B7562F">
            <w:pPr>
              <w:pStyle w:val="7"/>
              <w:spacing w:before="119" w:line="286" w:lineRule="auto"/>
              <w:ind w:left="121" w:right="104" w:hanging="10"/>
            </w:pPr>
            <w:r>
              <w:rPr>
                <w:color w:val="323232"/>
                <w:spacing w:val="9"/>
              </w:rPr>
              <w:t>发现问题苗头或突发事件，履行“首遇责任制”</w:t>
            </w:r>
            <w:r>
              <w:rPr>
                <w:color w:val="323232"/>
                <w:spacing w:val="-70"/>
              </w:rPr>
              <w:t xml:space="preserve"> </w:t>
            </w:r>
            <w:r>
              <w:rPr>
                <w:color w:val="323232"/>
                <w:spacing w:val="9"/>
              </w:rPr>
              <w:t>，坚持第一时间、第一</w:t>
            </w:r>
            <w:r>
              <w:rPr>
                <w:color w:val="323232"/>
                <w:spacing w:val="8"/>
              </w:rPr>
              <w:t>现场，做到边处置边报告，有效减少或避</w:t>
            </w:r>
            <w:r>
              <w:rPr>
                <w:color w:val="323232"/>
              </w:rPr>
              <w:t xml:space="preserve"> </w:t>
            </w:r>
            <w:r>
              <w:rPr>
                <w:color w:val="323232"/>
                <w:spacing w:val="9"/>
              </w:rPr>
              <w:t>免师生生命财产或学校声誉受到损失。</w:t>
            </w:r>
            <w:r>
              <w:rPr>
                <w:spacing w:val="9"/>
              </w:rPr>
              <w:t>处置不力，造成不良后果或负面影响的，视情扣分直至一票否决。</w:t>
            </w:r>
          </w:p>
        </w:tc>
        <w:tc>
          <w:tcPr>
            <w:tcW w:w="926" w:type="dxa"/>
            <w:vAlign w:val="top"/>
          </w:tcPr>
          <w:p w14:paraId="3E1F0E30">
            <w:pPr>
              <w:pStyle w:val="7"/>
              <w:spacing w:before="300" w:line="194" w:lineRule="auto"/>
              <w:ind w:left="428"/>
            </w:pPr>
            <w:r>
              <w:rPr>
                <w:color w:val="323232"/>
              </w:rPr>
              <w:t>8</w:t>
            </w:r>
          </w:p>
        </w:tc>
        <w:tc>
          <w:tcPr>
            <w:tcW w:w="868" w:type="dxa"/>
            <w:vAlign w:val="top"/>
          </w:tcPr>
          <w:p w14:paraId="00000D98">
            <w:pPr>
              <w:rPr>
                <w:rFonts w:ascii="Arial"/>
                <w:sz w:val="21"/>
              </w:rPr>
            </w:pPr>
          </w:p>
        </w:tc>
        <w:tc>
          <w:tcPr>
            <w:tcW w:w="748" w:type="dxa"/>
            <w:vAlign w:val="top"/>
          </w:tcPr>
          <w:p w14:paraId="2489D2BB">
            <w:pPr>
              <w:rPr>
                <w:rFonts w:ascii="Arial"/>
                <w:sz w:val="21"/>
              </w:rPr>
            </w:pPr>
          </w:p>
        </w:tc>
      </w:tr>
      <w:tr w14:paraId="58C87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292" w:type="dxa"/>
            <w:vMerge w:val="restart"/>
            <w:tcBorders>
              <w:bottom w:val="nil"/>
            </w:tcBorders>
            <w:vAlign w:val="top"/>
          </w:tcPr>
          <w:p w14:paraId="1882282D">
            <w:pPr>
              <w:pStyle w:val="7"/>
              <w:spacing w:before="239" w:line="222" w:lineRule="auto"/>
              <w:ind w:left="152"/>
            </w:pPr>
            <w:r>
              <w:rPr>
                <w:color w:val="323232"/>
                <w:spacing w:val="7"/>
              </w:rPr>
              <w:t>风险识别管</w:t>
            </w:r>
          </w:p>
          <w:p w14:paraId="67E8191E">
            <w:pPr>
              <w:pStyle w:val="7"/>
              <w:spacing w:before="83" w:line="224" w:lineRule="auto"/>
              <w:ind w:left="154"/>
            </w:pPr>
            <w:r>
              <w:rPr>
                <w:color w:val="323232"/>
                <w:spacing w:val="7"/>
              </w:rPr>
              <w:t>控与隐患排</w:t>
            </w:r>
          </w:p>
          <w:p w14:paraId="485CF32D">
            <w:pPr>
              <w:pStyle w:val="7"/>
              <w:spacing w:before="81" w:line="230" w:lineRule="auto"/>
              <w:ind w:left="350"/>
            </w:pPr>
            <w:r>
              <w:rPr>
                <w:color w:val="323232"/>
                <w:spacing w:val="7"/>
              </w:rPr>
              <w:t>查治理</w:t>
            </w:r>
          </w:p>
          <w:p w14:paraId="249D7282">
            <w:pPr>
              <w:pStyle w:val="7"/>
              <w:spacing w:before="74" w:line="226" w:lineRule="auto"/>
              <w:ind w:left="222"/>
            </w:pPr>
            <w:r>
              <w:rPr>
                <w:color w:val="323232"/>
                <w:spacing w:val="3"/>
              </w:rPr>
              <w:t>（60</w:t>
            </w:r>
            <w:r>
              <w:rPr>
                <w:color w:val="323232"/>
                <w:spacing w:val="-31"/>
              </w:rPr>
              <w:t xml:space="preserve"> </w:t>
            </w:r>
            <w:r>
              <w:rPr>
                <w:color w:val="323232"/>
                <w:spacing w:val="3"/>
              </w:rPr>
              <w:t>分）</w:t>
            </w:r>
          </w:p>
        </w:tc>
        <w:tc>
          <w:tcPr>
            <w:tcW w:w="1861" w:type="dxa"/>
            <w:vAlign w:val="top"/>
          </w:tcPr>
          <w:p w14:paraId="5592F4B0">
            <w:pPr>
              <w:pStyle w:val="7"/>
              <w:spacing w:before="117" w:line="222" w:lineRule="auto"/>
              <w:ind w:left="334"/>
            </w:pPr>
            <w:r>
              <w:rPr>
                <w:color w:val="323232"/>
                <w:spacing w:val="8"/>
              </w:rPr>
              <w:t>风险识别管控</w:t>
            </w:r>
          </w:p>
        </w:tc>
        <w:tc>
          <w:tcPr>
            <w:tcW w:w="9981" w:type="dxa"/>
            <w:vMerge w:val="restart"/>
            <w:tcBorders>
              <w:bottom w:val="nil"/>
            </w:tcBorders>
            <w:vAlign w:val="top"/>
          </w:tcPr>
          <w:p w14:paraId="47C23FF8">
            <w:pPr>
              <w:pStyle w:val="7"/>
              <w:spacing w:before="81" w:line="294" w:lineRule="auto"/>
              <w:ind w:left="108" w:right="104" w:firstLine="3"/>
              <w:jc w:val="both"/>
            </w:pPr>
            <w:r>
              <w:rPr>
                <w:spacing w:val="9"/>
              </w:rPr>
              <w:t>加强分管领域及本单位风险识别管控和隐患排查治理，确保不发生安全事故，或涉政涉稳事件、暴力案事件、涉</w:t>
            </w:r>
            <w:r>
              <w:rPr>
                <w:spacing w:val="8"/>
              </w:rPr>
              <w:t xml:space="preserve"> </w:t>
            </w:r>
            <w:r>
              <w:rPr>
                <w:spacing w:val="9"/>
              </w:rPr>
              <w:t>校舆情事件、诸如“夜骑”等非组织规模性集结活动和其他群体性事件，或因相关案事件受到法律制裁或纪律处</w:t>
            </w:r>
            <w:r>
              <w:rPr>
                <w:spacing w:val="11"/>
              </w:rPr>
              <w:t xml:space="preserve"> </w:t>
            </w:r>
            <w:r>
              <w:rPr>
                <w:spacing w:val="8"/>
              </w:rPr>
              <w:t>分。学校平安校园建设办公室将对照学校《安全管</w:t>
            </w:r>
            <w:r>
              <w:rPr>
                <w:spacing w:val="7"/>
              </w:rPr>
              <w:t>理责任清单》（成银院发〔2024〕34</w:t>
            </w:r>
            <w:r>
              <w:rPr>
                <w:spacing w:val="-29"/>
              </w:rPr>
              <w:t xml:space="preserve"> </w:t>
            </w:r>
            <w:r>
              <w:rPr>
                <w:spacing w:val="7"/>
              </w:rPr>
              <w:t>号）、《安全稳定工作岗</w:t>
            </w:r>
            <w:r>
              <w:t xml:space="preserve"> </w:t>
            </w:r>
            <w:r>
              <w:rPr>
                <w:spacing w:val="8"/>
              </w:rPr>
              <w:t>位责任清单》（成银院发〔2024〕35</w:t>
            </w:r>
            <w:r>
              <w:rPr>
                <w:spacing w:val="-29"/>
              </w:rPr>
              <w:t xml:space="preserve"> </w:t>
            </w:r>
            <w:r>
              <w:rPr>
                <w:spacing w:val="8"/>
              </w:rPr>
              <w:t>号）、《消防安全管理末</w:t>
            </w:r>
            <w:r>
              <w:rPr>
                <w:spacing w:val="7"/>
              </w:rPr>
              <w:t>端落实督导方案》（成银院发〔2024〕230</w:t>
            </w:r>
            <w:r>
              <w:rPr>
                <w:spacing w:val="-29"/>
              </w:rPr>
              <w:t xml:space="preserve"> </w:t>
            </w:r>
            <w:r>
              <w:rPr>
                <w:spacing w:val="7"/>
              </w:rPr>
              <w:t>号）以</w:t>
            </w:r>
            <w:r>
              <w:t xml:space="preserve"> </w:t>
            </w:r>
            <w:r>
              <w:rPr>
                <w:spacing w:val="8"/>
              </w:rPr>
              <w:t>及其他管理制度要求进行督导检查与综合评分，每项问题视情扣</w:t>
            </w:r>
            <w:r>
              <w:rPr>
                <w:spacing w:val="-9"/>
              </w:rPr>
              <w:t xml:space="preserve"> </w:t>
            </w:r>
            <w:r>
              <w:rPr>
                <w:spacing w:val="8"/>
              </w:rPr>
              <w:t>2-5</w:t>
            </w:r>
            <w:r>
              <w:rPr>
                <w:spacing w:val="-36"/>
              </w:rPr>
              <w:t xml:space="preserve"> </w:t>
            </w:r>
            <w:r>
              <w:rPr>
                <w:spacing w:val="8"/>
              </w:rPr>
              <w:t>分，扣完为止。</w:t>
            </w:r>
          </w:p>
        </w:tc>
        <w:tc>
          <w:tcPr>
            <w:tcW w:w="926" w:type="dxa"/>
            <w:vMerge w:val="restart"/>
            <w:tcBorders>
              <w:bottom w:val="nil"/>
            </w:tcBorders>
            <w:vAlign w:val="top"/>
          </w:tcPr>
          <w:p w14:paraId="01097C5B">
            <w:pPr>
              <w:spacing w:line="333" w:lineRule="auto"/>
              <w:rPr>
                <w:rFonts w:ascii="Arial"/>
                <w:sz w:val="21"/>
              </w:rPr>
            </w:pPr>
          </w:p>
          <w:p w14:paraId="18F63606">
            <w:pPr>
              <w:spacing w:line="333" w:lineRule="auto"/>
              <w:rPr>
                <w:rFonts w:ascii="Arial"/>
                <w:sz w:val="21"/>
              </w:rPr>
            </w:pPr>
          </w:p>
          <w:p w14:paraId="0082500D">
            <w:pPr>
              <w:pStyle w:val="7"/>
              <w:spacing w:before="62" w:line="194" w:lineRule="auto"/>
              <w:ind w:left="380"/>
            </w:pPr>
            <w:r>
              <w:rPr>
                <w:color w:val="323232"/>
                <w:spacing w:val="-4"/>
              </w:rPr>
              <w:t>60</w:t>
            </w:r>
          </w:p>
        </w:tc>
        <w:tc>
          <w:tcPr>
            <w:tcW w:w="868" w:type="dxa"/>
            <w:vAlign w:val="top"/>
          </w:tcPr>
          <w:p w14:paraId="4BD8F1C0">
            <w:pPr>
              <w:rPr>
                <w:rFonts w:ascii="Arial"/>
                <w:sz w:val="21"/>
              </w:rPr>
            </w:pPr>
          </w:p>
        </w:tc>
        <w:tc>
          <w:tcPr>
            <w:tcW w:w="748" w:type="dxa"/>
            <w:vAlign w:val="top"/>
          </w:tcPr>
          <w:p w14:paraId="7B6A1ECA">
            <w:pPr>
              <w:rPr>
                <w:rFonts w:ascii="Arial"/>
                <w:sz w:val="21"/>
              </w:rPr>
            </w:pPr>
          </w:p>
        </w:tc>
      </w:tr>
      <w:tr w14:paraId="37608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292" w:type="dxa"/>
            <w:vMerge w:val="continue"/>
            <w:tcBorders>
              <w:top w:val="nil"/>
              <w:bottom w:val="nil"/>
            </w:tcBorders>
            <w:vAlign w:val="top"/>
          </w:tcPr>
          <w:p w14:paraId="387FD426">
            <w:pPr>
              <w:rPr>
                <w:rFonts w:ascii="Arial"/>
                <w:sz w:val="21"/>
              </w:rPr>
            </w:pPr>
          </w:p>
        </w:tc>
        <w:tc>
          <w:tcPr>
            <w:tcW w:w="1861" w:type="dxa"/>
            <w:vAlign w:val="top"/>
          </w:tcPr>
          <w:p w14:paraId="02A52A80">
            <w:pPr>
              <w:pStyle w:val="7"/>
              <w:spacing w:before="97" w:line="222" w:lineRule="auto"/>
              <w:ind w:left="286"/>
            </w:pPr>
            <w:r>
              <w:rPr>
                <w:color w:val="323232"/>
                <w:spacing w:val="7"/>
              </w:rPr>
              <w:t>人员/活动管理</w:t>
            </w:r>
          </w:p>
        </w:tc>
        <w:tc>
          <w:tcPr>
            <w:tcW w:w="9981" w:type="dxa"/>
            <w:vMerge w:val="continue"/>
            <w:tcBorders>
              <w:top w:val="nil"/>
              <w:bottom w:val="nil"/>
            </w:tcBorders>
            <w:vAlign w:val="top"/>
          </w:tcPr>
          <w:p w14:paraId="31802BE1">
            <w:pPr>
              <w:rPr>
                <w:rFonts w:ascii="Arial"/>
                <w:sz w:val="21"/>
              </w:rPr>
            </w:pPr>
          </w:p>
        </w:tc>
        <w:tc>
          <w:tcPr>
            <w:tcW w:w="926" w:type="dxa"/>
            <w:vMerge w:val="continue"/>
            <w:tcBorders>
              <w:top w:val="nil"/>
              <w:bottom w:val="nil"/>
            </w:tcBorders>
            <w:vAlign w:val="top"/>
          </w:tcPr>
          <w:p w14:paraId="3CA8032C">
            <w:pPr>
              <w:rPr>
                <w:rFonts w:ascii="Arial"/>
                <w:sz w:val="21"/>
              </w:rPr>
            </w:pPr>
          </w:p>
        </w:tc>
        <w:tc>
          <w:tcPr>
            <w:tcW w:w="868" w:type="dxa"/>
            <w:vAlign w:val="top"/>
          </w:tcPr>
          <w:p w14:paraId="42121C54">
            <w:pPr>
              <w:rPr>
                <w:rFonts w:ascii="Arial"/>
                <w:sz w:val="21"/>
              </w:rPr>
            </w:pPr>
          </w:p>
        </w:tc>
        <w:tc>
          <w:tcPr>
            <w:tcW w:w="748" w:type="dxa"/>
            <w:vAlign w:val="top"/>
          </w:tcPr>
          <w:p w14:paraId="0A28FD17">
            <w:pPr>
              <w:rPr>
                <w:rFonts w:ascii="Arial"/>
                <w:sz w:val="21"/>
              </w:rPr>
            </w:pPr>
          </w:p>
        </w:tc>
      </w:tr>
      <w:tr w14:paraId="5CA63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292" w:type="dxa"/>
            <w:vMerge w:val="continue"/>
            <w:tcBorders>
              <w:top w:val="nil"/>
            </w:tcBorders>
            <w:vAlign w:val="top"/>
          </w:tcPr>
          <w:p w14:paraId="101F5A98">
            <w:pPr>
              <w:rPr>
                <w:rFonts w:ascii="Arial"/>
                <w:sz w:val="21"/>
              </w:rPr>
            </w:pPr>
          </w:p>
        </w:tc>
        <w:tc>
          <w:tcPr>
            <w:tcW w:w="1861" w:type="dxa"/>
            <w:vAlign w:val="top"/>
          </w:tcPr>
          <w:p w14:paraId="4CC8DD1F">
            <w:pPr>
              <w:pStyle w:val="7"/>
              <w:spacing w:before="297" w:line="222" w:lineRule="auto"/>
              <w:ind w:left="284"/>
            </w:pPr>
            <w:r>
              <w:rPr>
                <w:color w:val="323232"/>
                <w:spacing w:val="8"/>
              </w:rPr>
              <w:t>场所/设施管理</w:t>
            </w:r>
          </w:p>
        </w:tc>
        <w:tc>
          <w:tcPr>
            <w:tcW w:w="9981" w:type="dxa"/>
            <w:vMerge w:val="continue"/>
            <w:tcBorders>
              <w:top w:val="nil"/>
            </w:tcBorders>
            <w:vAlign w:val="top"/>
          </w:tcPr>
          <w:p w14:paraId="4CFB434F">
            <w:pPr>
              <w:rPr>
                <w:rFonts w:ascii="Arial"/>
                <w:sz w:val="21"/>
              </w:rPr>
            </w:pPr>
          </w:p>
        </w:tc>
        <w:tc>
          <w:tcPr>
            <w:tcW w:w="926" w:type="dxa"/>
            <w:vMerge w:val="continue"/>
            <w:tcBorders>
              <w:top w:val="nil"/>
            </w:tcBorders>
            <w:vAlign w:val="top"/>
          </w:tcPr>
          <w:p w14:paraId="48C579BD">
            <w:pPr>
              <w:rPr>
                <w:rFonts w:ascii="Arial"/>
                <w:sz w:val="21"/>
              </w:rPr>
            </w:pPr>
          </w:p>
        </w:tc>
        <w:tc>
          <w:tcPr>
            <w:tcW w:w="868" w:type="dxa"/>
            <w:vAlign w:val="top"/>
          </w:tcPr>
          <w:p w14:paraId="04414A32">
            <w:pPr>
              <w:rPr>
                <w:rFonts w:ascii="Arial"/>
                <w:sz w:val="21"/>
              </w:rPr>
            </w:pPr>
          </w:p>
        </w:tc>
        <w:tc>
          <w:tcPr>
            <w:tcW w:w="748" w:type="dxa"/>
            <w:vAlign w:val="top"/>
          </w:tcPr>
          <w:p w14:paraId="06356CD5">
            <w:pPr>
              <w:rPr>
                <w:rFonts w:ascii="Arial"/>
                <w:sz w:val="21"/>
              </w:rPr>
            </w:pPr>
          </w:p>
        </w:tc>
      </w:tr>
      <w:tr w14:paraId="0F5B8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292" w:type="dxa"/>
            <w:vMerge w:val="restart"/>
            <w:tcBorders>
              <w:bottom w:val="nil"/>
            </w:tcBorders>
            <w:vAlign w:val="top"/>
          </w:tcPr>
          <w:p w14:paraId="5EAF1AB3">
            <w:pPr>
              <w:spacing w:line="286" w:lineRule="auto"/>
              <w:rPr>
                <w:rFonts w:ascii="Arial"/>
                <w:sz w:val="21"/>
              </w:rPr>
            </w:pPr>
          </w:p>
          <w:p w14:paraId="49A1F62D">
            <w:pPr>
              <w:spacing w:line="287" w:lineRule="auto"/>
              <w:rPr>
                <w:rFonts w:ascii="Arial"/>
                <w:sz w:val="21"/>
              </w:rPr>
            </w:pPr>
          </w:p>
          <w:p w14:paraId="02E930F2">
            <w:pPr>
              <w:pStyle w:val="7"/>
              <w:spacing w:before="62" w:line="226" w:lineRule="auto"/>
              <w:ind w:left="350"/>
            </w:pPr>
            <w:r>
              <w:rPr>
                <w:color w:val="323232"/>
                <w:spacing w:val="7"/>
              </w:rPr>
              <w:t>加分项</w:t>
            </w:r>
          </w:p>
        </w:tc>
        <w:tc>
          <w:tcPr>
            <w:tcW w:w="1861" w:type="dxa"/>
            <w:vAlign w:val="top"/>
          </w:tcPr>
          <w:p w14:paraId="08C38B25">
            <w:pPr>
              <w:pStyle w:val="7"/>
              <w:spacing w:before="96" w:line="222" w:lineRule="auto"/>
              <w:ind w:left="564"/>
            </w:pPr>
            <w:r>
              <w:rPr>
                <w:color w:val="323232"/>
              </w:rPr>
              <w:t>比赛获奖</w:t>
            </w:r>
          </w:p>
        </w:tc>
        <w:tc>
          <w:tcPr>
            <w:tcW w:w="9981" w:type="dxa"/>
            <w:vAlign w:val="top"/>
          </w:tcPr>
          <w:p w14:paraId="30628D49">
            <w:pPr>
              <w:pStyle w:val="7"/>
              <w:spacing w:before="96" w:line="222" w:lineRule="auto"/>
              <w:ind w:left="113"/>
            </w:pPr>
            <w:r>
              <w:rPr>
                <w:spacing w:val="8"/>
              </w:rPr>
              <w:t>在校级以上安全竞赛活动中获得优秀奖或优秀组织奖以上名次/表彰，每次加</w:t>
            </w:r>
            <w:r>
              <w:rPr>
                <w:spacing w:val="-17"/>
              </w:rPr>
              <w:t xml:space="preserve"> </w:t>
            </w:r>
            <w:r>
              <w:rPr>
                <w:spacing w:val="8"/>
              </w:rPr>
              <w:t>2-5</w:t>
            </w:r>
            <w:r>
              <w:rPr>
                <w:spacing w:val="-36"/>
              </w:rPr>
              <w:t xml:space="preserve"> </w:t>
            </w:r>
            <w:r>
              <w:rPr>
                <w:spacing w:val="8"/>
              </w:rPr>
              <w:t>分。</w:t>
            </w:r>
          </w:p>
        </w:tc>
        <w:tc>
          <w:tcPr>
            <w:tcW w:w="926" w:type="dxa"/>
            <w:vAlign w:val="top"/>
          </w:tcPr>
          <w:p w14:paraId="5C835E10">
            <w:pPr>
              <w:rPr>
                <w:rFonts w:ascii="Arial"/>
                <w:sz w:val="21"/>
              </w:rPr>
            </w:pPr>
          </w:p>
        </w:tc>
        <w:tc>
          <w:tcPr>
            <w:tcW w:w="868" w:type="dxa"/>
            <w:vAlign w:val="top"/>
          </w:tcPr>
          <w:p w14:paraId="1137627E">
            <w:pPr>
              <w:rPr>
                <w:rFonts w:ascii="Arial"/>
                <w:sz w:val="21"/>
              </w:rPr>
            </w:pPr>
          </w:p>
        </w:tc>
        <w:tc>
          <w:tcPr>
            <w:tcW w:w="748" w:type="dxa"/>
            <w:vAlign w:val="top"/>
          </w:tcPr>
          <w:p w14:paraId="1BBC7DD3">
            <w:pPr>
              <w:rPr>
                <w:rFonts w:ascii="Arial"/>
                <w:sz w:val="21"/>
              </w:rPr>
            </w:pPr>
          </w:p>
        </w:tc>
      </w:tr>
      <w:tr w14:paraId="48FA4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92" w:type="dxa"/>
            <w:vMerge w:val="continue"/>
            <w:tcBorders>
              <w:top w:val="nil"/>
              <w:bottom w:val="nil"/>
            </w:tcBorders>
            <w:vAlign w:val="top"/>
          </w:tcPr>
          <w:p w14:paraId="14580699">
            <w:pPr>
              <w:rPr>
                <w:rFonts w:ascii="Arial"/>
                <w:sz w:val="21"/>
              </w:rPr>
            </w:pPr>
          </w:p>
        </w:tc>
        <w:tc>
          <w:tcPr>
            <w:tcW w:w="1861" w:type="dxa"/>
            <w:vAlign w:val="top"/>
          </w:tcPr>
          <w:p w14:paraId="4E0E87FA">
            <w:pPr>
              <w:pStyle w:val="7"/>
              <w:spacing w:before="63" w:line="270" w:lineRule="auto"/>
              <w:ind w:left="537" w:right="529" w:firstLine="2"/>
            </w:pPr>
            <w:r>
              <w:rPr>
                <w:color w:val="323232"/>
                <w:spacing w:val="6"/>
              </w:rPr>
              <w:t>经验交流</w:t>
            </w:r>
            <w:r>
              <w:rPr>
                <w:color w:val="323232"/>
                <w:spacing w:val="1"/>
              </w:rPr>
              <w:t xml:space="preserve"> </w:t>
            </w:r>
            <w:r>
              <w:rPr>
                <w:color w:val="323232"/>
                <w:spacing w:val="7"/>
              </w:rPr>
              <w:t>理论研讨</w:t>
            </w:r>
          </w:p>
        </w:tc>
        <w:tc>
          <w:tcPr>
            <w:tcW w:w="9981" w:type="dxa"/>
            <w:vAlign w:val="top"/>
          </w:tcPr>
          <w:p w14:paraId="5DA56A5B">
            <w:pPr>
              <w:pStyle w:val="7"/>
              <w:spacing w:before="220" w:line="222" w:lineRule="auto"/>
              <w:ind w:left="116"/>
            </w:pPr>
            <w:r>
              <w:rPr>
                <w:spacing w:val="8"/>
              </w:rPr>
              <w:t>安全工作理论研讨、经验做法等获得省级以上刊物/平台刊发或转发，每次/篇加</w:t>
            </w:r>
            <w:r>
              <w:rPr>
                <w:spacing w:val="-20"/>
              </w:rPr>
              <w:t xml:space="preserve"> </w:t>
            </w:r>
            <w:r>
              <w:rPr>
                <w:spacing w:val="8"/>
              </w:rPr>
              <w:t>2-5</w:t>
            </w:r>
            <w:r>
              <w:rPr>
                <w:spacing w:val="-36"/>
              </w:rPr>
              <w:t xml:space="preserve"> </w:t>
            </w:r>
            <w:r>
              <w:rPr>
                <w:spacing w:val="8"/>
              </w:rPr>
              <w:t>分。</w:t>
            </w:r>
          </w:p>
        </w:tc>
        <w:tc>
          <w:tcPr>
            <w:tcW w:w="926" w:type="dxa"/>
            <w:vAlign w:val="top"/>
          </w:tcPr>
          <w:p w14:paraId="3024680A">
            <w:pPr>
              <w:rPr>
                <w:rFonts w:ascii="Arial"/>
                <w:sz w:val="21"/>
              </w:rPr>
            </w:pPr>
          </w:p>
        </w:tc>
        <w:tc>
          <w:tcPr>
            <w:tcW w:w="868" w:type="dxa"/>
            <w:vAlign w:val="top"/>
          </w:tcPr>
          <w:p w14:paraId="34BE39CD">
            <w:pPr>
              <w:rPr>
                <w:rFonts w:ascii="Arial"/>
                <w:sz w:val="21"/>
              </w:rPr>
            </w:pPr>
          </w:p>
        </w:tc>
        <w:tc>
          <w:tcPr>
            <w:tcW w:w="748" w:type="dxa"/>
            <w:vAlign w:val="top"/>
          </w:tcPr>
          <w:p w14:paraId="754D480B">
            <w:pPr>
              <w:rPr>
                <w:rFonts w:ascii="Arial"/>
                <w:sz w:val="21"/>
              </w:rPr>
            </w:pPr>
          </w:p>
        </w:tc>
      </w:tr>
      <w:tr w14:paraId="50223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92" w:type="dxa"/>
            <w:vMerge w:val="continue"/>
            <w:tcBorders>
              <w:top w:val="nil"/>
            </w:tcBorders>
            <w:vAlign w:val="top"/>
          </w:tcPr>
          <w:p w14:paraId="1B376255">
            <w:pPr>
              <w:rPr>
                <w:rFonts w:ascii="Arial"/>
                <w:sz w:val="21"/>
              </w:rPr>
            </w:pPr>
          </w:p>
        </w:tc>
        <w:tc>
          <w:tcPr>
            <w:tcW w:w="1861" w:type="dxa"/>
            <w:vAlign w:val="top"/>
          </w:tcPr>
          <w:p w14:paraId="3C712AD9">
            <w:pPr>
              <w:pStyle w:val="7"/>
              <w:spacing w:before="129" w:line="224" w:lineRule="auto"/>
              <w:ind w:left="734"/>
            </w:pPr>
            <w:r>
              <w:rPr>
                <w:color w:val="323232"/>
                <w:spacing w:val="5"/>
              </w:rPr>
              <w:t>其他</w:t>
            </w:r>
          </w:p>
        </w:tc>
        <w:tc>
          <w:tcPr>
            <w:tcW w:w="9981" w:type="dxa"/>
            <w:vAlign w:val="top"/>
          </w:tcPr>
          <w:p w14:paraId="78E8D865">
            <w:pPr>
              <w:pStyle w:val="7"/>
              <w:spacing w:before="128" w:line="222" w:lineRule="auto"/>
              <w:ind w:left="116"/>
            </w:pPr>
            <w:r>
              <w:rPr>
                <w:spacing w:val="9"/>
              </w:rPr>
              <w:t>有员工及时报告或排除安全隐患避免造成重大损失等其他突出贡献的，视情加分。</w:t>
            </w:r>
          </w:p>
        </w:tc>
        <w:tc>
          <w:tcPr>
            <w:tcW w:w="926" w:type="dxa"/>
            <w:vAlign w:val="top"/>
          </w:tcPr>
          <w:p w14:paraId="63644A49">
            <w:pPr>
              <w:rPr>
                <w:rFonts w:ascii="Arial"/>
                <w:sz w:val="21"/>
              </w:rPr>
            </w:pPr>
          </w:p>
        </w:tc>
        <w:tc>
          <w:tcPr>
            <w:tcW w:w="868" w:type="dxa"/>
            <w:vAlign w:val="top"/>
          </w:tcPr>
          <w:p w14:paraId="282D18D5">
            <w:pPr>
              <w:rPr>
                <w:rFonts w:ascii="Arial"/>
                <w:sz w:val="21"/>
              </w:rPr>
            </w:pPr>
          </w:p>
        </w:tc>
        <w:tc>
          <w:tcPr>
            <w:tcW w:w="748" w:type="dxa"/>
            <w:vAlign w:val="top"/>
          </w:tcPr>
          <w:p w14:paraId="0932827B">
            <w:pPr>
              <w:rPr>
                <w:rFonts w:ascii="Arial"/>
                <w:sz w:val="21"/>
              </w:rPr>
            </w:pPr>
          </w:p>
        </w:tc>
      </w:tr>
      <w:tr w14:paraId="5CA3D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92" w:type="dxa"/>
            <w:vAlign w:val="top"/>
          </w:tcPr>
          <w:p w14:paraId="37B67BED">
            <w:pPr>
              <w:pStyle w:val="7"/>
              <w:spacing w:before="127" w:line="226" w:lineRule="auto"/>
              <w:ind w:left="464"/>
            </w:pPr>
            <w:r>
              <w:rPr>
                <w:color w:val="323232"/>
                <w:spacing w:val="-2"/>
              </w:rPr>
              <w:t>总分</w:t>
            </w:r>
          </w:p>
        </w:tc>
        <w:tc>
          <w:tcPr>
            <w:tcW w:w="1861" w:type="dxa"/>
            <w:vAlign w:val="top"/>
          </w:tcPr>
          <w:p w14:paraId="2EE0BD15">
            <w:pPr>
              <w:rPr>
                <w:rFonts w:ascii="Arial"/>
                <w:sz w:val="21"/>
              </w:rPr>
            </w:pPr>
          </w:p>
        </w:tc>
        <w:tc>
          <w:tcPr>
            <w:tcW w:w="9981" w:type="dxa"/>
            <w:vAlign w:val="top"/>
          </w:tcPr>
          <w:p w14:paraId="2AD2D154">
            <w:pPr>
              <w:pStyle w:val="7"/>
              <w:spacing w:before="127" w:line="222" w:lineRule="auto"/>
              <w:ind w:left="109"/>
            </w:pPr>
            <w:r>
              <w:rPr>
                <w:spacing w:val="7"/>
              </w:rPr>
              <w:t>相关安全工作分管单位总分视情另加</w:t>
            </w:r>
            <w:r>
              <w:rPr>
                <w:spacing w:val="-18"/>
              </w:rPr>
              <w:t xml:space="preserve"> </w:t>
            </w:r>
            <w:r>
              <w:rPr>
                <w:spacing w:val="7"/>
              </w:rPr>
              <w:t>5-20</w:t>
            </w:r>
            <w:r>
              <w:rPr>
                <w:spacing w:val="-37"/>
              </w:rPr>
              <w:t xml:space="preserve"> </w:t>
            </w:r>
            <w:r>
              <w:rPr>
                <w:spacing w:val="7"/>
              </w:rPr>
              <w:t>分（一级指标前两项总扣分不得超过</w:t>
            </w:r>
            <w:r>
              <w:rPr>
                <w:spacing w:val="-24"/>
              </w:rPr>
              <w:t xml:space="preserve"> </w:t>
            </w:r>
            <w:r>
              <w:rPr>
                <w:spacing w:val="7"/>
              </w:rPr>
              <w:t>15</w:t>
            </w:r>
            <w:r>
              <w:rPr>
                <w:spacing w:val="-36"/>
              </w:rPr>
              <w:t xml:space="preserve"> </w:t>
            </w:r>
            <w:r>
              <w:rPr>
                <w:spacing w:val="7"/>
              </w:rPr>
              <w:t>分）。</w:t>
            </w:r>
          </w:p>
        </w:tc>
        <w:tc>
          <w:tcPr>
            <w:tcW w:w="926" w:type="dxa"/>
            <w:vAlign w:val="top"/>
          </w:tcPr>
          <w:p w14:paraId="28C6BA26">
            <w:pPr>
              <w:rPr>
                <w:rFonts w:ascii="Arial"/>
                <w:sz w:val="21"/>
              </w:rPr>
            </w:pPr>
          </w:p>
        </w:tc>
        <w:tc>
          <w:tcPr>
            <w:tcW w:w="868" w:type="dxa"/>
            <w:vAlign w:val="top"/>
          </w:tcPr>
          <w:p w14:paraId="5DC837DC">
            <w:pPr>
              <w:rPr>
                <w:rFonts w:ascii="Arial"/>
                <w:sz w:val="21"/>
              </w:rPr>
            </w:pPr>
          </w:p>
        </w:tc>
        <w:tc>
          <w:tcPr>
            <w:tcW w:w="748" w:type="dxa"/>
            <w:vAlign w:val="top"/>
          </w:tcPr>
          <w:p w14:paraId="4FDEFA69">
            <w:pPr>
              <w:rPr>
                <w:rFonts w:ascii="Arial"/>
                <w:sz w:val="21"/>
              </w:rPr>
            </w:pPr>
          </w:p>
        </w:tc>
      </w:tr>
      <w:tr w14:paraId="13C26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92" w:type="dxa"/>
            <w:vAlign w:val="top"/>
          </w:tcPr>
          <w:p w14:paraId="4D595A4A">
            <w:pPr>
              <w:pStyle w:val="7"/>
              <w:spacing w:before="220" w:line="224" w:lineRule="auto"/>
              <w:ind w:left="265"/>
            </w:pPr>
            <w:r>
              <w:rPr>
                <w:color w:val="323232"/>
                <w:spacing w:val="4"/>
              </w:rPr>
              <w:t>一票否决</w:t>
            </w:r>
          </w:p>
        </w:tc>
        <w:tc>
          <w:tcPr>
            <w:tcW w:w="1861" w:type="dxa"/>
            <w:vAlign w:val="top"/>
          </w:tcPr>
          <w:p w14:paraId="7E6147CD">
            <w:pPr>
              <w:rPr>
                <w:rFonts w:ascii="Arial"/>
                <w:sz w:val="21"/>
              </w:rPr>
            </w:pPr>
          </w:p>
        </w:tc>
        <w:tc>
          <w:tcPr>
            <w:tcW w:w="9981" w:type="dxa"/>
            <w:vAlign w:val="top"/>
          </w:tcPr>
          <w:p w14:paraId="6B833055">
            <w:pPr>
              <w:pStyle w:val="7"/>
              <w:spacing w:before="63" w:line="270" w:lineRule="auto"/>
              <w:ind w:left="117" w:right="104" w:hanging="6"/>
            </w:pPr>
            <w:r>
              <w:rPr>
                <w:spacing w:val="9"/>
              </w:rPr>
              <w:t>本单位或分管工作年度内发生安全责任事故，涉政涉稳重大事件、极端暴力案事件、重大涉校舆情事件、群体性</w:t>
            </w:r>
            <w:r>
              <w:rPr>
                <w:spacing w:val="8"/>
              </w:rPr>
              <w:t xml:space="preserve"> 事件，有因相关案事件受到法律制裁的职工等等。</w:t>
            </w:r>
          </w:p>
        </w:tc>
        <w:tc>
          <w:tcPr>
            <w:tcW w:w="926" w:type="dxa"/>
            <w:vAlign w:val="top"/>
          </w:tcPr>
          <w:p w14:paraId="609F59CD">
            <w:pPr>
              <w:rPr>
                <w:rFonts w:ascii="Arial"/>
                <w:sz w:val="21"/>
              </w:rPr>
            </w:pPr>
          </w:p>
        </w:tc>
        <w:tc>
          <w:tcPr>
            <w:tcW w:w="868" w:type="dxa"/>
            <w:vAlign w:val="top"/>
          </w:tcPr>
          <w:p w14:paraId="47CE8D31">
            <w:pPr>
              <w:rPr>
                <w:rFonts w:ascii="Arial"/>
                <w:sz w:val="21"/>
              </w:rPr>
            </w:pPr>
          </w:p>
        </w:tc>
        <w:tc>
          <w:tcPr>
            <w:tcW w:w="748" w:type="dxa"/>
            <w:vAlign w:val="top"/>
          </w:tcPr>
          <w:p w14:paraId="699D6048">
            <w:pPr>
              <w:rPr>
                <w:rFonts w:ascii="Arial"/>
                <w:sz w:val="21"/>
              </w:rPr>
            </w:pPr>
          </w:p>
        </w:tc>
      </w:tr>
      <w:tr w14:paraId="76D43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292" w:type="dxa"/>
            <w:vAlign w:val="top"/>
          </w:tcPr>
          <w:p w14:paraId="25E5EE7F">
            <w:pPr>
              <w:pStyle w:val="7"/>
              <w:spacing w:before="63" w:line="224" w:lineRule="auto"/>
              <w:ind w:left="451"/>
            </w:pPr>
            <w:r>
              <w:rPr>
                <w:spacing w:val="5"/>
              </w:rPr>
              <w:t>说明</w:t>
            </w:r>
          </w:p>
        </w:tc>
        <w:tc>
          <w:tcPr>
            <w:tcW w:w="11842" w:type="dxa"/>
            <w:gridSpan w:val="2"/>
            <w:vAlign w:val="top"/>
          </w:tcPr>
          <w:p w14:paraId="035EF4AC">
            <w:pPr>
              <w:pStyle w:val="7"/>
              <w:spacing w:before="63" w:line="222" w:lineRule="auto"/>
              <w:ind w:left="125"/>
            </w:pPr>
            <w:r>
              <w:rPr>
                <w:spacing w:val="8"/>
              </w:rPr>
              <w:t>1.保卫处不参与“平安银杏”建设先进集体评选；2.总扣分（一级指标前两项）超过</w:t>
            </w:r>
            <w:r>
              <w:rPr>
                <w:spacing w:val="-18"/>
              </w:rPr>
              <w:t xml:space="preserve"> </w:t>
            </w:r>
            <w:r>
              <w:rPr>
                <w:spacing w:val="8"/>
              </w:rPr>
              <w:t>15</w:t>
            </w:r>
            <w:r>
              <w:rPr>
                <w:spacing w:val="-36"/>
              </w:rPr>
              <w:t xml:space="preserve"> </w:t>
            </w:r>
            <w:r>
              <w:rPr>
                <w:spacing w:val="8"/>
              </w:rPr>
              <w:t>分的，不参与评选。</w:t>
            </w:r>
          </w:p>
        </w:tc>
        <w:tc>
          <w:tcPr>
            <w:tcW w:w="926" w:type="dxa"/>
            <w:vAlign w:val="top"/>
          </w:tcPr>
          <w:p w14:paraId="1FDA0EDA">
            <w:pPr>
              <w:rPr>
                <w:rFonts w:ascii="Arial"/>
                <w:sz w:val="21"/>
              </w:rPr>
            </w:pPr>
          </w:p>
        </w:tc>
        <w:tc>
          <w:tcPr>
            <w:tcW w:w="868" w:type="dxa"/>
            <w:vAlign w:val="top"/>
          </w:tcPr>
          <w:p w14:paraId="3E898134">
            <w:pPr>
              <w:rPr>
                <w:rFonts w:ascii="Arial"/>
                <w:sz w:val="21"/>
              </w:rPr>
            </w:pPr>
          </w:p>
        </w:tc>
        <w:tc>
          <w:tcPr>
            <w:tcW w:w="748" w:type="dxa"/>
            <w:vAlign w:val="top"/>
          </w:tcPr>
          <w:p w14:paraId="2A56A134">
            <w:pPr>
              <w:rPr>
                <w:rFonts w:ascii="Arial"/>
                <w:sz w:val="21"/>
              </w:rPr>
            </w:pPr>
          </w:p>
        </w:tc>
      </w:tr>
    </w:tbl>
    <w:p w14:paraId="4D4FC87E">
      <w:pPr>
        <w:rPr>
          <w:rFonts w:ascii="Arial"/>
          <w:sz w:val="21"/>
        </w:rPr>
      </w:pPr>
      <w:bookmarkStart w:id="0" w:name="_GoBack"/>
      <w:bookmarkEnd w:id="0"/>
    </w:p>
    <w:sectPr>
      <w:footerReference r:id="rId5" w:type="default"/>
      <w:pgSz w:w="16839" w:h="11906"/>
      <w:pgMar w:top="850" w:right="578" w:bottom="594" w:left="578" w:header="0" w:footer="37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4F576B6-68F7-4CB8-B5B2-C3D8DBA7F875}"/>
  </w:font>
  <w:font w:name="黑体">
    <w:panose1 w:val="02010609060101010101"/>
    <w:charset w:val="86"/>
    <w:family w:val="auto"/>
    <w:pitch w:val="default"/>
    <w:sig w:usb0="800002BF" w:usb1="38CF7CFA" w:usb2="00000016" w:usb3="00000000" w:csb0="00040001" w:csb1="00000000"/>
    <w:embedRegular r:id="rId2" w:fontKey="{EA9F088E-8DAD-4768-B919-2DD59D9B42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5A7F699C-287B-4717-A748-3398F53CB12E}"/>
  </w:font>
  <w:font w:name="FangSong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4" w:fontKey="{D2520969-FB3F-479C-9A1A-7921B6D8CF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85D31">
    <w:pPr>
      <w:spacing w:line="170" w:lineRule="auto"/>
      <w:ind w:left="7790"/>
      <w:rPr>
        <w:rFonts w:hint="eastAsia" w:ascii="Calibri" w:hAnsi="Calibri" w:eastAsia="宋体" w:cs="Calibri"/>
        <w:sz w:val="24"/>
        <w:szCs w:val="2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6F738AD"/>
    <w:rsid w:val="252B1039"/>
    <w:rsid w:val="53896913"/>
    <w:rsid w:val="5CE345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FangSong_GB2312" w:hAnsi="FangSong_GB2312" w:eastAsia="FangSong_GB2312" w:cs="FangSong_GB2312"/>
      <w:sz w:val="19"/>
      <w:szCs w:val="19"/>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1190</Words>
  <Characters>1231</Characters>
  <TotalTime>20</TotalTime>
  <ScaleCrop>false</ScaleCrop>
  <LinksUpToDate>false</LinksUpToDate>
  <CharactersWithSpaces>1301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2025-07-11T08:41:00Z</dcterms:created>
  <dc:creator>yx</dc:creator>
  <cp:lastModifiedBy>GG</cp:lastModifiedBy>
  <dcterms:modified xsi:type="dcterms:W3CDTF">2025-08-25T07:20:32Z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2025-08-25T14:54:29Z</vt:filetime>
  </property>
  <property fmtid="{D5CDD505-2E9C-101B-9397-08002B2CF9AE}" pid="4" name="KSOProductBuildVer">
    <vt:lpwstr>2052-12.1.0.21915</vt:lpwstr>
  </property>
  <property fmtid="{D5CDD505-2E9C-101B-9397-08002B2CF9AE}" pid="5" name="ICV">
    <vt:lpwstr>3C7B443E0C2F40EFB62D6A63A1D3D7F4_13</vt:lpwstr>
  </property>
  <property fmtid="{D5CDD505-2E9C-101B-9397-08002B2CF9AE}" pid="6" name="KSOTemplateDocerSaveRecord">
    <vt:lpwstr>eyJoZGlkIjoiMDU1MDk3YjFkZTZjMTI5NGNjYWVmZjQ3MDg5MzNkZjMiLCJ1c2VySWQiOiIxMjA2MTQ2MTQ2In0=</vt:lpwstr>
  </property>
</Properties>
</file>