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tbl>
      <w:tblPr>
        <w:tblStyle w:val="6"/>
        <w:tblpPr w:leftFromText="180" w:rightFromText="180" w:vertAnchor="text" w:horzAnchor="page" w:tblpX="1588" w:tblpY="95"/>
        <w:tblOverlap w:val="never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/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注：1.本表用于家庭经济困难学生认定，可复印；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2.学校、院系、专业、年级、班级可根据实际情况选择性填写。</w:t>
      </w: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0A01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3</Pages>
  <Words>248</Words>
  <Characters>1416</Characters>
  <Lines>11</Lines>
  <Paragraphs>3</Paragraphs>
  <TotalTime>0</TotalTime>
  <ScaleCrop>false</ScaleCrop>
  <LinksUpToDate>false</LinksUpToDate>
  <CharactersWithSpaces>1661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Administrator</cp:lastModifiedBy>
  <cp:lastPrinted>2019-06-04T02:55:00Z</cp:lastPrinted>
  <dcterms:modified xsi:type="dcterms:W3CDTF">2021-09-17T02:52:16Z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